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Activité 1 : La masse volumique et la structure de la Terre (1ère partie)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7290"/>
        <w:tblGridChange w:id="0">
          <w:tblGrid>
            <w:gridCol w:w="3390"/>
            <w:gridCol w:w="729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Notions et contenus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Compétences attendues</w:t>
            </w:r>
          </w:p>
        </w:tc>
      </w:tr>
      <w:tr>
        <w:trPr>
          <w:trHeight w:val="160" w:hRule="atLeast"/>
        </w:trPr>
        <w:tc>
          <w:tcPr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masse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volume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masse volumique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masse volumique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m =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ρ x V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Compétences du socle commun</w:t>
            </w:r>
          </w:p>
        </w:tc>
      </w:tr>
      <w:tr>
        <w:trPr>
          <w:trHeight w:val="160" w:hRule="atLeast"/>
        </w:trPr>
        <w:tc>
          <w:tcPr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Lire et comprendre des documents scientifiques pour en extraire des informations</w:t>
            </w:r>
          </w:p>
        </w:tc>
      </w:tr>
    </w:tbl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Document 1 : Comment s’organise la matière qui compose notre monde ?</w:t>
            </w:r>
          </w:p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Du moment que sa masse volumique est plus grande que celle de l’air, n’importe quel objet lâché sur Terre tombe (...).</w:t>
            </w:r>
          </w:p>
          <w:p w:rsidR="00000000" w:rsidDel="00000000" w:rsidP="00000000" w:rsidRDefault="00000000" w:rsidRPr="00000000" w14:paraId="00000011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Mais qu’en est-il d’un objet plus léger que l’air ? Pourquoi les montgolfières s’élèvent-elles dans le ciel au lieu de tomber ? Ne ressent</w:t>
            </w:r>
            <w:r w:rsidDel="00000000" w:rsidR="00000000" w:rsidRPr="00000000">
              <w:rPr>
                <w:rtl w:val="0"/>
              </w:rPr>
              <w:t xml:space="preserve">ent</w:t>
            </w:r>
            <w:r w:rsidDel="00000000" w:rsidR="00000000" w:rsidRPr="00000000">
              <w:rPr>
                <w:rtl w:val="0"/>
              </w:rPr>
              <w:t xml:space="preserve">-elles pas la gravitation comme nous ? (...)</w:t>
            </w:r>
          </w:p>
          <w:p w:rsidR="00000000" w:rsidDel="00000000" w:rsidP="00000000" w:rsidRDefault="00000000" w:rsidRPr="00000000" w14:paraId="00000012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Lorsque les objets sont à la verticale les uns des autres, celui qui </w:t>
            </w: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 la plus grande masse volumique a tendance à aller en dessous des autres.</w:t>
            </w:r>
          </w:p>
          <w:p w:rsidR="00000000" w:rsidDel="00000000" w:rsidP="00000000" w:rsidRDefault="00000000" w:rsidRPr="00000000" w14:paraId="00000014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Si des objets s’élèvent dans le ciel, ce n’est pas parce qu’ils ne ressentent pas la gravitation - la gravitation est toujours attractive et rien ni personne </w:t>
            </w:r>
            <w:r w:rsidDel="00000000" w:rsidR="00000000" w:rsidRPr="00000000">
              <w:rPr>
                <w:rtl w:val="0"/>
              </w:rPr>
              <w:t xml:space="preserve">n’y</w:t>
            </w:r>
            <w:r w:rsidDel="00000000" w:rsidR="00000000" w:rsidRPr="00000000">
              <w:rPr>
                <w:rtl w:val="0"/>
              </w:rPr>
              <w:t xml:space="preserve"> échappe - c’est parce que l’air qui était au-dessus et autour d’eux, de plus grand</w:t>
            </w: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 masse volumique, tend à prendre leur place.</w:t>
            </w:r>
          </w:p>
          <w:p w:rsidR="00000000" w:rsidDel="00000000" w:rsidP="00000000" w:rsidRDefault="00000000" w:rsidRPr="00000000" w14:paraId="00000016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Si les objets de plus faible masse volumique que l’air montent, c’est donc parce que l’air qui les entoure profite de l’aubaine pour se glisser sous eux.</w:t>
            </w:r>
          </w:p>
          <w:p w:rsidR="00000000" w:rsidDel="00000000" w:rsidP="00000000" w:rsidRDefault="00000000" w:rsidRPr="00000000" w14:paraId="00000017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 utilisant le même raisonnement, il est possible de prédire la structure complète de notre planète.</w:t>
            </w:r>
          </w:p>
          <w:p w:rsidR="00000000" w:rsidDel="00000000" w:rsidP="00000000" w:rsidRDefault="00000000" w:rsidRPr="00000000" w14:paraId="00000018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(...) La masse volumique des roches est, en général, plus grande que celle de l’eau. Les mers et les océans se trouvent donc l au-dessus des fonds rocheux, et non l’inverse.</w:t>
            </w:r>
          </w:p>
          <w:p w:rsidR="00000000" w:rsidDel="00000000" w:rsidP="00000000" w:rsidRDefault="00000000" w:rsidRPr="00000000" w14:paraId="00000019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La masse volumique des roches et de l’eau est supérieure à celle de l’air. L'atmosphère se trouve donc au-dessus de la surface de notre planète, et non l’inverse.</w:t>
            </w:r>
          </w:p>
          <w:p w:rsidR="00000000" w:rsidDel="00000000" w:rsidP="00000000" w:rsidRDefault="00000000" w:rsidRPr="00000000" w14:paraId="0000001A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Nous, les humains, vivons entre 6000 km de roches et environ 1000 km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d’air.</w:t>
            </w:r>
          </w:p>
          <w:p w:rsidR="00000000" w:rsidDel="00000000" w:rsidP="00000000" w:rsidRDefault="00000000" w:rsidRPr="00000000" w14:paraId="0000001C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La masse volumique de nos corps est supérieur</w:t>
            </w: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 à celle de l’air : nous ne nous envolons pas.</w:t>
            </w:r>
          </w:p>
          <w:p w:rsidR="00000000" w:rsidDel="00000000" w:rsidP="00000000" w:rsidRDefault="00000000" w:rsidRPr="00000000" w14:paraId="0000001D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La masse volumique de nos corps est inférieure à celle du sol : nous ne nous y enfonçons pas.</w:t>
            </w:r>
          </w:p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Texte adapté à partir de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L’Univers à portée de main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 Christophe Galfard, Gallimard</w:t>
            </w:r>
          </w:p>
        </w:tc>
      </w:tr>
    </w:tbl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Document 2 : La masse volumique </w:t>
            </w:r>
          </w:p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 masse </w:t>
            </w:r>
            <m:oMath>
              <m:r>
                <w:rPr/>
                <m:t xml:space="preserve">m</m:t>
              </m:r>
            </m:oMath>
            <w:r w:rsidDel="00000000" w:rsidR="00000000" w:rsidRPr="00000000">
              <w:rPr>
                <w:rtl w:val="0"/>
              </w:rPr>
              <w:t xml:space="preserve"> et le volume </w:t>
            </w:r>
            <w:r w:rsidDel="00000000" w:rsidR="00000000" w:rsidRPr="00000000">
              <w:rPr>
                <w:i w:val="1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  <w:t xml:space="preserve"> d’un matériau sont deux grandeurs proportionnelles.</w:t>
            </w:r>
          </w:p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 masse volumique </w:t>
            </w:r>
            <w:r w:rsidDel="00000000" w:rsidR="00000000" w:rsidRPr="00000000">
              <w:rPr>
                <w:i w:val="1"/>
                <w:rtl w:val="0"/>
              </w:rPr>
              <w:t xml:space="preserve">ρ</w:t>
            </w:r>
            <w:r w:rsidDel="00000000" w:rsidR="00000000" w:rsidRPr="00000000">
              <w:rPr>
                <w:rtl w:val="0"/>
              </w:rPr>
              <w:t xml:space="preserve"> (rhô) d’un matériau s’exprime par :</w:t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ρ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= </w:t>
            </w:r>
            <m:oMath>
              <m:f>
                <m:fPr>
                  <m:ctrlPr>
                    <w:rPr>
                      <w:sz w:val="36"/>
                      <w:szCs w:val="36"/>
                    </w:rPr>
                  </m:ctrlPr>
                </m:fPr>
                <m:num>
                  <m:r>
                    <w:rPr>
                      <w:sz w:val="36"/>
                      <w:szCs w:val="36"/>
                    </w:rPr>
                    <m:t xml:space="preserve">m</m:t>
                  </m:r>
                </m:num>
                <m:den>
                  <m:r>
                    <w:rPr>
                      <w:sz w:val="36"/>
                      <w:szCs w:val="36"/>
                    </w:rPr>
                    <m:t xml:space="preserve">V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Dans cette relation, les unités sont liées entre elles :</w:t>
            </w:r>
          </w:p>
          <w:tbl>
            <w:tblPr>
              <w:tblStyle w:val="Table4"/>
              <w:tblW w:w="1057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584"/>
              <w:gridCol w:w="2985"/>
              <w:gridCol w:w="4005"/>
              <w:tblGridChange w:id="0">
                <w:tblGrid>
                  <w:gridCol w:w="3584"/>
                  <w:gridCol w:w="2985"/>
                  <w:gridCol w:w="4005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29">
                  <w:pPr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masse </w:t>
                  </w:r>
                  <m:oMath>
                    <m:r>
                      <w:rPr/>
                      <m:t xml:space="preserve">m</m:t>
                    </m:r>
                  </m:oMath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A">
                  <w:pPr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volume </w:t>
                  </w:r>
                  <m:oMath>
                    <m:r>
                      <w:rPr/>
                      <m:t xml:space="preserve">V</m:t>
                    </m:r>
                  </m:oMath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contextualSpacing w:val="0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masse volumique </w:t>
                  </w:r>
                  <w:r w:rsidDel="00000000" w:rsidR="00000000" w:rsidRPr="00000000">
                    <w:rPr>
                      <w:i w:val="1"/>
                      <w:rtl w:val="0"/>
                    </w:rPr>
                    <w:t xml:space="preserve">ρ</w:t>
                  </w:r>
                </w:p>
              </w:tc>
            </w:tr>
            <w:tr>
              <w:tc>
                <w:tcPr>
                  <w:shd w:fill="ffff00" w:val="clea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gramme ( g )</w:t>
                  </w:r>
                </w:p>
              </w:tc>
              <w:tc>
                <w:tcPr>
                  <w:shd w:fill="ffff00" w:val="clear"/>
                </w:tcPr>
                <w:p w:rsidR="00000000" w:rsidDel="00000000" w:rsidP="00000000" w:rsidRDefault="00000000" w:rsidRPr="00000000" w14:paraId="0000002D">
                  <w:pPr>
                    <w:widowControl w:val="0"/>
                    <w:spacing w:line="240" w:lineRule="auto"/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litre ( L )</w:t>
                  </w:r>
                </w:p>
              </w:tc>
              <w:tc>
                <w:tcPr>
                  <w:shd w:fill="ffff00" w:val="clear"/>
                </w:tcPr>
                <w:p w:rsidR="00000000" w:rsidDel="00000000" w:rsidP="00000000" w:rsidRDefault="00000000" w:rsidRPr="00000000" w14:paraId="0000002E">
                  <w:pPr>
                    <w:widowControl w:val="0"/>
                    <w:spacing w:line="240" w:lineRule="auto"/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gramme par litre ( g / L )</w:t>
                  </w:r>
                </w:p>
              </w:tc>
            </w:tr>
            <w:tr>
              <w:tc>
                <w:tcPr>
                  <w:shd w:fill="00ffff" w:val="clear"/>
                </w:tcPr>
                <w:p w:rsidR="00000000" w:rsidDel="00000000" w:rsidP="00000000" w:rsidRDefault="00000000" w:rsidRPr="00000000" w14:paraId="0000002F">
                  <w:pPr>
                    <w:widowControl w:val="0"/>
                    <w:spacing w:line="240" w:lineRule="auto"/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gramme ( g )</w:t>
                  </w:r>
                </w:p>
              </w:tc>
              <w:tc>
                <w:tcPr>
                  <w:shd w:fill="00ffff" w:val="clear"/>
                </w:tcPr>
                <w:p w:rsidR="00000000" w:rsidDel="00000000" w:rsidP="00000000" w:rsidRDefault="00000000" w:rsidRPr="00000000" w14:paraId="00000030">
                  <w:pPr>
                    <w:widowControl w:val="0"/>
                    <w:spacing w:line="240" w:lineRule="auto"/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milli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litre ( mL )</w:t>
                  </w:r>
                </w:p>
              </w:tc>
              <w:tc>
                <w:tcPr>
                  <w:shd w:fill="00ffff" w:val="clear"/>
                </w:tcPr>
                <w:p w:rsidR="00000000" w:rsidDel="00000000" w:rsidP="00000000" w:rsidRDefault="00000000" w:rsidRPr="00000000" w14:paraId="00000031">
                  <w:pPr>
                    <w:widowControl w:val="0"/>
                    <w:spacing w:line="240" w:lineRule="auto"/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gramme par 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milli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litre ( g / mL )</w:t>
                  </w:r>
                </w:p>
              </w:tc>
            </w:tr>
            <w:tr>
              <w:tc>
                <w:tcPr>
                  <w:shd w:fill="00ff00" w:val="clear"/>
                </w:tcPr>
                <w:p w:rsidR="00000000" w:rsidDel="00000000" w:rsidP="00000000" w:rsidRDefault="00000000" w:rsidRPr="00000000" w14:paraId="00000032">
                  <w:pPr>
                    <w:widowControl w:val="0"/>
                    <w:spacing w:line="240" w:lineRule="auto"/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kilogramme ( kg )</w:t>
                  </w:r>
                </w:p>
              </w:tc>
              <w:tc>
                <w:tcPr>
                  <w:shd w:fill="00ff00" w:val="clear"/>
                </w:tcPr>
                <w:p w:rsidR="00000000" w:rsidDel="00000000" w:rsidP="00000000" w:rsidRDefault="00000000" w:rsidRPr="00000000" w14:paraId="00000033">
                  <w:pPr>
                    <w:widowControl w:val="0"/>
                    <w:spacing w:line="240" w:lineRule="auto"/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mètre-cube ( m</w:t>
                  </w:r>
                  <w:r w:rsidDel="00000000" w:rsidR="00000000" w:rsidRPr="00000000">
                    <w:rPr>
                      <w:sz w:val="20"/>
                      <w:szCs w:val="20"/>
                      <w:vertAlign w:val="superscript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)</w:t>
                  </w:r>
                </w:p>
              </w:tc>
              <w:tc>
                <w:tcPr>
                  <w:shd w:fill="00ff00" w:val="clear"/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line="240" w:lineRule="auto"/>
                    <w:contextualSpacing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kilogramme par mètre-cube ( kg / m</w:t>
                  </w:r>
                  <w:r w:rsidDel="00000000" w:rsidR="00000000" w:rsidRPr="00000000">
                    <w:rPr>
                      <w:sz w:val="20"/>
                      <w:szCs w:val="20"/>
                      <w:vertAlign w:val="superscript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)</w:t>
                  </w:r>
                </w:p>
              </w:tc>
            </w:tr>
          </w:tbl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5734050" cy="5676900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52400" y="152400"/>
                                <a:ext cx="5734050" cy="5676900"/>
                                <a:chOff x="152400" y="152400"/>
                                <a:chExt cx="7297100" cy="7219949"/>
                              </a:xfrm>
                            </wpg:grpSpPr>
                            <pic:pic>
                              <pic:nvPicPr>
                                <pic:cNvPr id="2" name="Shape 2"/>
                                <pic:cNvPicPr preferRelativeResize="0"/>
                              </pic:nvPicPr>
                              <pic:blipFill>
                                <a:blip r:embed="rId6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400" y="152400"/>
                                  <a:ext cx="6992300" cy="72199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6049400" y="2371725"/>
                                  <a:ext cx="1095300" cy="24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4" name="Shape 4"/>
                              <wps:spPr>
                                <a:xfrm>
                                  <a:off x="4920150" y="6677025"/>
                                  <a:ext cx="1665900" cy="59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5" name="Shape 5"/>
                              <wps:spPr>
                                <a:xfrm>
                                  <a:off x="6354200" y="2676525"/>
                                  <a:ext cx="1095300" cy="247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6" name="Shape 6"/>
                              <wps:spPr>
                                <a:xfrm>
                                  <a:off x="5196375" y="5476875"/>
                                  <a:ext cx="1665900" cy="59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7" name="Shape 7"/>
                              <wps:spPr>
                                <a:xfrm>
                                  <a:off x="4638675" y="1209675"/>
                                  <a:ext cx="12096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75.9999942779541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ρ ≃ 2700 kg/m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superscript"/>
                                      </w:rPr>
                                      <w:t xml:space="preserve">3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8" name="Shape 8"/>
                              <wps:spPr>
                                <a:xfrm>
                                  <a:off x="4638675" y="2085825"/>
                                  <a:ext cx="1281000" cy="28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75.9999942779541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ρ ≃ 3000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kg/m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superscript"/>
                                      </w:rPr>
                                      <w:t xml:space="preserve">3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9" name="Shape 9"/>
                              <wps:spPr>
                                <a:xfrm>
                                  <a:off x="3076575" y="2085825"/>
                                  <a:ext cx="1152600" cy="28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EAD3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75.9999942779541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ρ ≃ 3300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kg/m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superscript"/>
                                      </w:rPr>
                                      <w:t xml:space="preserve">3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10" name="Shape 10"/>
                              <wps:spPr>
                                <a:xfrm>
                                  <a:off x="1628775" y="1666875"/>
                                  <a:ext cx="1152600" cy="28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3C47D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75.9999942779541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ρ ≃ 2700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kg/m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superscript"/>
                                      </w:rPr>
                                      <w:t xml:space="preserve">3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11" name="Shape 11"/>
                              <wps:spPr>
                                <a:xfrm>
                                  <a:off x="3295650" y="5133825"/>
                                  <a:ext cx="1209600" cy="28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7E6B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75.9999942779541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ρ ≃ 5500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kg/m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superscript"/>
                                      </w:rPr>
                                      <w:t xml:space="preserve">3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12" name="Shape 12"/>
                              <wps:spPr>
                                <a:xfrm>
                                  <a:off x="3295650" y="5572125"/>
                                  <a:ext cx="1209600" cy="28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D966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75.9999942779541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ρ ≃ 9500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kg/m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superscript"/>
                                      </w:rPr>
                                      <w:t xml:space="preserve">3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13" name="Shape 13"/>
                              <wps:spPr>
                                <a:xfrm>
                                  <a:off x="3295650" y="6486525"/>
                                  <a:ext cx="1209600" cy="28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D966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75.9999942779541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ρ ≃ 11500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kg/m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superscript"/>
                                      </w:rPr>
                                      <w:t xml:space="preserve">3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14" name="Shape 14"/>
                              <wps:spPr>
                                <a:xfrm>
                                  <a:off x="3190875" y="6924525"/>
                                  <a:ext cx="1209600" cy="28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C232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75.9999942779541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ρ ≃ 12000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kg/m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superscript"/>
                                      </w:rPr>
                                      <w:t xml:space="preserve">3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15" name="Shape 15"/>
                              <wps:spPr>
                                <a:xfrm>
                                  <a:off x="4819650" y="266700"/>
                                  <a:ext cx="2000400" cy="590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75.9999942779541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16" name="Shape 16"/>
                              <wps:spPr>
                                <a:xfrm>
                                  <a:off x="5686425" y="704850"/>
                                  <a:ext cx="4953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SpPr txBox="1"/>
                              <wps:cNvPr id="17" name="Shape 17"/>
                              <wps:spPr>
                                <a:xfrm>
                                  <a:off x="5443575" y="390525"/>
                                  <a:ext cx="1281000" cy="76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75.9999942779541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Pour l’air à basse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altitude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 : 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75.9999942779541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ρ ≃ 1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baseline"/>
                                      </w:rPr>
                                      <w:t xml:space="preserve">kg/m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2"/>
                                        <w:vertAlign w:val="superscript"/>
                                      </w:rPr>
                                      <w:t xml:space="preserve">3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5734050" cy="567690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34050" cy="5676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Document 3 : Structure de la Terre</w:t>
            </w:r>
            <w:r w:rsidDel="00000000" w:rsidR="00000000" w:rsidRPr="00000000">
              <w:rPr>
                <w:rtl w:val="0"/>
              </w:rPr>
              <w:t xml:space="preserve"> (adapté à partir de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www.mines-stetienne.fr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D’après les documents proposés, quelle propriété de la matière permet de comprendre la structure de notre planète ? Une réponse argumentée est demandée.</w:t>
      </w:r>
    </w:p>
    <w:p w:rsidR="00000000" w:rsidDel="00000000" w:rsidP="00000000" w:rsidRDefault="00000000" w:rsidRPr="00000000" w14:paraId="0000004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://www.mines-stetienn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