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0"/>
        <w:tblW w:w="14160" w:type="dxa"/>
        <w:tblInd w:w="-550" w:type="dxa"/>
        <w:tblLayout w:type="fixed"/>
        <w:tblLook w:val="0400" w:firstRow="0" w:lastRow="0" w:firstColumn="0" w:lastColumn="0" w:noHBand="0" w:noVBand="1"/>
      </w:tblPr>
      <w:tblGrid>
        <w:gridCol w:w="9225"/>
        <w:gridCol w:w="4935"/>
      </w:tblGrid>
      <w:tr w:rsidR="00517125" w:rsidTr="00517125">
        <w:trPr>
          <w:trHeight w:val="100"/>
        </w:trPr>
        <w:tc>
          <w:tcPr>
            <w:tcW w:w="9225" w:type="dxa"/>
            <w:vMerge w:val="restart"/>
            <w:tcBorders>
              <w:right w:val="single" w:sz="4" w:space="0" w:color="000000"/>
            </w:tcBorders>
            <w:shd w:val="clear" w:color="auto" w:fill="FFFFFF"/>
            <w:vAlign w:val="center"/>
          </w:tcPr>
          <w:p w:rsidR="00517125" w:rsidRDefault="00517125" w:rsidP="00517125">
            <w:pPr>
              <w:tabs>
                <w:tab w:val="center" w:pos="4536"/>
                <w:tab w:val="right" w:pos="9072"/>
              </w:tabs>
              <w:spacing w:after="0" w:line="240" w:lineRule="auto"/>
              <w:jc w:val="center"/>
            </w:pPr>
            <w:r>
              <w:rPr>
                <w:b/>
                <w:i/>
                <w:smallCaps/>
              </w:rPr>
              <w:t>ACTIVITE  : FICHE D’IDENTITÉ D’UN ION</w:t>
            </w:r>
          </w:p>
        </w:tc>
        <w:tc>
          <w:tcPr>
            <w:tcW w:w="4935" w:type="dxa"/>
            <w:tcBorders>
              <w:left w:val="single" w:sz="4" w:space="0" w:color="000000"/>
            </w:tcBorders>
            <w:shd w:val="clear" w:color="auto" w:fill="D9D9D9"/>
            <w:vAlign w:val="center"/>
          </w:tcPr>
          <w:p w:rsidR="00517125" w:rsidRDefault="00517125">
            <w:pPr>
              <w:tabs>
                <w:tab w:val="center" w:pos="4536"/>
                <w:tab w:val="right" w:pos="9072"/>
              </w:tabs>
              <w:spacing w:after="0" w:line="240" w:lineRule="auto"/>
            </w:pPr>
            <w:r>
              <w:rPr>
                <w:smallCaps/>
              </w:rPr>
              <w:t>DATE :</w:t>
            </w:r>
          </w:p>
        </w:tc>
      </w:tr>
      <w:tr w:rsidR="00517125" w:rsidTr="00517125">
        <w:tc>
          <w:tcPr>
            <w:tcW w:w="9225" w:type="dxa"/>
            <w:vMerge/>
            <w:tcBorders>
              <w:right w:val="single" w:sz="4" w:space="0" w:color="000000"/>
            </w:tcBorders>
            <w:shd w:val="clear" w:color="auto" w:fill="FFFFFF"/>
            <w:vAlign w:val="center"/>
          </w:tcPr>
          <w:p w:rsidR="00517125" w:rsidRDefault="00517125">
            <w:pPr>
              <w:tabs>
                <w:tab w:val="center" w:pos="4536"/>
                <w:tab w:val="right" w:pos="9072"/>
              </w:tabs>
              <w:spacing w:after="0" w:line="240" w:lineRule="auto"/>
              <w:jc w:val="center"/>
            </w:pPr>
          </w:p>
        </w:tc>
        <w:tc>
          <w:tcPr>
            <w:tcW w:w="4935" w:type="dxa"/>
            <w:tcBorders>
              <w:left w:val="single" w:sz="4" w:space="0" w:color="000000"/>
            </w:tcBorders>
            <w:shd w:val="clear" w:color="auto" w:fill="D9D9D9"/>
            <w:vAlign w:val="center"/>
          </w:tcPr>
          <w:p w:rsidR="00517125" w:rsidRDefault="00517125">
            <w:pPr>
              <w:tabs>
                <w:tab w:val="center" w:pos="4536"/>
                <w:tab w:val="right" w:pos="9072"/>
              </w:tabs>
              <w:spacing w:after="0" w:line="240" w:lineRule="auto"/>
            </w:pPr>
            <w:r>
              <w:rPr>
                <w:smallCaps/>
              </w:rPr>
              <w:t>GROUPE N° </w:t>
            </w:r>
          </w:p>
        </w:tc>
      </w:tr>
      <w:tr w:rsidR="000449F0" w:rsidTr="00517125">
        <w:trPr>
          <w:trHeight w:val="2295"/>
        </w:trPr>
        <w:tc>
          <w:tcPr>
            <w:tcW w:w="14160" w:type="dxa"/>
            <w:gridSpan w:val="2"/>
            <w:shd w:val="clear" w:color="auto" w:fill="E7E6E6"/>
            <w:vAlign w:val="center"/>
          </w:tcPr>
          <w:tbl>
            <w:tblPr>
              <w:tblStyle w:val="a"/>
              <w:tblpPr w:leftFromText="141" w:rightFromText="141" w:horzAnchor="page" w:tblpX="691" w:tblpY="-435"/>
              <w:tblOverlap w:val="never"/>
              <w:tblW w:w="108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6990"/>
              <w:gridCol w:w="765"/>
              <w:gridCol w:w="719"/>
              <w:gridCol w:w="709"/>
            </w:tblGrid>
            <w:tr w:rsidR="000449F0" w:rsidTr="00517125">
              <w:trPr>
                <w:trHeight w:val="400"/>
              </w:trPr>
              <w:tc>
                <w:tcPr>
                  <w:tcW w:w="1695"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0449F0" w:rsidRDefault="000449F0">
                  <w:pPr>
                    <w:spacing w:after="0" w:line="240" w:lineRule="auto"/>
                    <w:jc w:val="center"/>
                  </w:pPr>
                </w:p>
              </w:tc>
              <w:tc>
                <w:tcPr>
                  <w:tcW w:w="6990" w:type="dxa"/>
                  <w:tcBorders>
                    <w:top w:val="single" w:sz="8" w:space="0" w:color="000000"/>
                    <w:left w:val="nil"/>
                    <w:bottom w:val="single" w:sz="8" w:space="0" w:color="000000"/>
                    <w:right w:val="single" w:sz="4" w:space="0" w:color="000000"/>
                  </w:tcBorders>
                  <w:shd w:val="clear" w:color="auto" w:fill="D0CECE" w:themeFill="background2" w:themeFillShade="E6"/>
                  <w:vAlign w:val="center"/>
                </w:tcPr>
                <w:p w:rsidR="000449F0" w:rsidRDefault="00517125">
                  <w:pPr>
                    <w:spacing w:after="0" w:line="240" w:lineRule="auto"/>
                  </w:pPr>
                  <w:r>
                    <w:t>Descriptif</w:t>
                  </w:r>
                </w:p>
              </w:tc>
              <w:tc>
                <w:tcPr>
                  <w:tcW w:w="765" w:type="dxa"/>
                  <w:tcBorders>
                    <w:top w:val="single" w:sz="8" w:space="0" w:color="000000"/>
                    <w:left w:val="single" w:sz="4" w:space="0" w:color="000000"/>
                    <w:bottom w:val="single" w:sz="8" w:space="0" w:color="000000"/>
                    <w:right w:val="single" w:sz="8" w:space="0" w:color="000000"/>
                  </w:tcBorders>
                  <w:shd w:val="clear" w:color="auto" w:fill="D0CECE" w:themeFill="background2" w:themeFillShade="E6"/>
                  <w:vAlign w:val="center"/>
                </w:tcPr>
                <w:p w:rsidR="000449F0" w:rsidRPr="00517125" w:rsidRDefault="00517125" w:rsidP="00517125">
                  <w:pPr>
                    <w:spacing w:after="0" w:line="240" w:lineRule="auto"/>
                    <w:jc w:val="center"/>
                    <w:rPr>
                      <w:b/>
                      <w:sz w:val="36"/>
                    </w:rPr>
                  </w:pPr>
                  <w:r w:rsidRPr="00517125">
                    <w:rPr>
                      <w:b/>
                      <w:color w:val="6AA84F"/>
                      <w:sz w:val="36"/>
                    </w:rPr>
                    <w:sym w:font="Wingdings" w:char="F04A"/>
                  </w:r>
                </w:p>
              </w:tc>
              <w:tc>
                <w:tcPr>
                  <w:tcW w:w="719" w:type="dxa"/>
                  <w:tcBorders>
                    <w:top w:val="single" w:sz="8" w:space="0" w:color="000000"/>
                    <w:left w:val="single" w:sz="4" w:space="0" w:color="000000"/>
                    <w:bottom w:val="single" w:sz="8" w:space="0" w:color="000000"/>
                    <w:right w:val="single" w:sz="8" w:space="0" w:color="000000"/>
                  </w:tcBorders>
                  <w:shd w:val="clear" w:color="auto" w:fill="D0CECE" w:themeFill="background2" w:themeFillShade="E6"/>
                  <w:vAlign w:val="center"/>
                </w:tcPr>
                <w:p w:rsidR="000449F0" w:rsidRPr="00517125" w:rsidRDefault="00517125" w:rsidP="00517125">
                  <w:pPr>
                    <w:spacing w:after="0" w:line="240" w:lineRule="auto"/>
                    <w:jc w:val="center"/>
                    <w:rPr>
                      <w:b/>
                      <w:sz w:val="36"/>
                    </w:rPr>
                  </w:pPr>
                  <w:r w:rsidRPr="00517125">
                    <w:rPr>
                      <w:b/>
                      <w:color w:val="FFFF00"/>
                      <w:sz w:val="36"/>
                    </w:rPr>
                    <w:sym w:font="Wingdings" w:char="F04B"/>
                  </w:r>
                </w:p>
              </w:tc>
              <w:tc>
                <w:tcPr>
                  <w:tcW w:w="709" w:type="dxa"/>
                  <w:tcBorders>
                    <w:top w:val="single" w:sz="8" w:space="0" w:color="000000"/>
                    <w:left w:val="single" w:sz="4" w:space="0" w:color="000000"/>
                    <w:bottom w:val="single" w:sz="8" w:space="0" w:color="000000"/>
                    <w:right w:val="single" w:sz="8" w:space="0" w:color="000000"/>
                  </w:tcBorders>
                  <w:shd w:val="clear" w:color="auto" w:fill="D0CECE" w:themeFill="background2" w:themeFillShade="E6"/>
                  <w:vAlign w:val="center"/>
                </w:tcPr>
                <w:p w:rsidR="000449F0" w:rsidRPr="00517125" w:rsidRDefault="00517125" w:rsidP="00517125">
                  <w:pPr>
                    <w:spacing w:after="0" w:line="240" w:lineRule="auto"/>
                    <w:jc w:val="center"/>
                    <w:rPr>
                      <w:b/>
                      <w:sz w:val="36"/>
                    </w:rPr>
                  </w:pPr>
                  <w:r w:rsidRPr="00517125">
                    <w:rPr>
                      <w:b/>
                      <w:color w:val="FF0000"/>
                      <w:sz w:val="36"/>
                    </w:rPr>
                    <w:sym w:font="Wingdings" w:char="F04C"/>
                  </w:r>
                </w:p>
              </w:tc>
            </w:tr>
            <w:tr w:rsidR="000449F0" w:rsidTr="00517125">
              <w:trPr>
                <w:trHeight w:val="268"/>
              </w:trPr>
              <w:tc>
                <w:tcPr>
                  <w:tcW w:w="1695" w:type="dxa"/>
                  <w:vMerge w:val="restart"/>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517125" w:rsidRDefault="00BF195B">
                  <w:pPr>
                    <w:spacing w:after="0" w:line="240" w:lineRule="auto"/>
                    <w:jc w:val="center"/>
                    <w:rPr>
                      <w:b/>
                    </w:rPr>
                  </w:pPr>
                  <w:r>
                    <w:rPr>
                      <w:b/>
                    </w:rPr>
                    <w:t>Compétences</w:t>
                  </w:r>
                </w:p>
                <w:p w:rsidR="00517125" w:rsidRDefault="00BF195B">
                  <w:pPr>
                    <w:spacing w:after="0" w:line="240" w:lineRule="auto"/>
                    <w:jc w:val="center"/>
                    <w:rPr>
                      <w:b/>
                    </w:rPr>
                  </w:pPr>
                  <w:r>
                    <w:rPr>
                      <w:b/>
                    </w:rPr>
                    <w:t xml:space="preserve">capacités </w:t>
                  </w:r>
                </w:p>
                <w:p w:rsidR="000449F0" w:rsidRDefault="00BF195B">
                  <w:pPr>
                    <w:spacing w:after="0" w:line="240" w:lineRule="auto"/>
                    <w:jc w:val="center"/>
                  </w:pPr>
                  <w:r>
                    <w:rPr>
                      <w:b/>
                    </w:rPr>
                    <w:t>visées</w:t>
                  </w:r>
                </w:p>
              </w:tc>
              <w:tc>
                <w:tcPr>
                  <w:tcW w:w="6990" w:type="dxa"/>
                  <w:tcBorders>
                    <w:top w:val="single" w:sz="8" w:space="0" w:color="000000"/>
                    <w:left w:val="nil"/>
                    <w:bottom w:val="single" w:sz="8" w:space="0" w:color="000000"/>
                    <w:right w:val="single" w:sz="4" w:space="0" w:color="000000"/>
                  </w:tcBorders>
                  <w:shd w:val="clear" w:color="auto" w:fill="F2F2F2" w:themeFill="background1" w:themeFillShade="F2"/>
                  <w:vAlign w:val="center"/>
                </w:tcPr>
                <w:p w:rsidR="000449F0" w:rsidRDefault="00BF195B">
                  <w:pPr>
                    <w:spacing w:after="0" w:line="240" w:lineRule="auto"/>
                  </w:pPr>
                  <w:r>
                    <w:rPr>
                      <w:b/>
                    </w:rPr>
                    <w:t>C</w:t>
                  </w:r>
                  <w:r>
                    <w:t>ommuniquer en utilisant des symboles physiques et chimiques</w:t>
                  </w:r>
                </w:p>
              </w:tc>
              <w:tc>
                <w:tcPr>
                  <w:tcW w:w="765" w:type="dxa"/>
                  <w:tcBorders>
                    <w:top w:val="single" w:sz="8" w:space="0" w:color="000000"/>
                    <w:left w:val="single" w:sz="4" w:space="0" w:color="000000"/>
                    <w:bottom w:val="single" w:sz="8" w:space="0" w:color="000000"/>
                    <w:right w:val="single" w:sz="8" w:space="0" w:color="000000"/>
                  </w:tcBorders>
                  <w:shd w:val="clear" w:color="auto" w:fill="F2F2F2" w:themeFill="background1" w:themeFillShade="F2"/>
                </w:tcPr>
                <w:p w:rsidR="000449F0" w:rsidRDefault="000449F0">
                  <w:pPr>
                    <w:spacing w:after="0" w:line="240" w:lineRule="auto"/>
                  </w:pPr>
                </w:p>
              </w:tc>
              <w:tc>
                <w:tcPr>
                  <w:tcW w:w="719" w:type="dxa"/>
                  <w:tcBorders>
                    <w:top w:val="single" w:sz="8" w:space="0" w:color="000000"/>
                    <w:left w:val="single" w:sz="4" w:space="0" w:color="000000"/>
                    <w:bottom w:val="single" w:sz="8" w:space="0" w:color="000000"/>
                    <w:right w:val="single" w:sz="8" w:space="0" w:color="000000"/>
                  </w:tcBorders>
                  <w:shd w:val="clear" w:color="auto" w:fill="F2F2F2" w:themeFill="background1" w:themeFillShade="F2"/>
                </w:tcPr>
                <w:p w:rsidR="000449F0" w:rsidRDefault="000449F0">
                  <w:pPr>
                    <w:spacing w:after="0" w:line="240" w:lineRule="auto"/>
                  </w:pPr>
                </w:p>
              </w:tc>
              <w:tc>
                <w:tcPr>
                  <w:tcW w:w="709" w:type="dxa"/>
                  <w:tcBorders>
                    <w:top w:val="single" w:sz="8" w:space="0" w:color="000000"/>
                    <w:left w:val="single" w:sz="4" w:space="0" w:color="000000"/>
                    <w:bottom w:val="single" w:sz="8" w:space="0" w:color="000000"/>
                    <w:right w:val="single" w:sz="8" w:space="0" w:color="000000"/>
                  </w:tcBorders>
                  <w:shd w:val="clear" w:color="auto" w:fill="F2F2F2" w:themeFill="background1" w:themeFillShade="F2"/>
                </w:tcPr>
                <w:p w:rsidR="000449F0" w:rsidRDefault="000449F0">
                  <w:pPr>
                    <w:spacing w:after="0" w:line="240" w:lineRule="auto"/>
                  </w:pPr>
                </w:p>
              </w:tc>
            </w:tr>
            <w:tr w:rsidR="000449F0" w:rsidTr="00517125">
              <w:trPr>
                <w:trHeight w:val="275"/>
              </w:trPr>
              <w:tc>
                <w:tcPr>
                  <w:tcW w:w="1695" w:type="dxa"/>
                  <w:vMerge/>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0449F0" w:rsidRDefault="000449F0">
                  <w:pPr>
                    <w:spacing w:after="0" w:line="240" w:lineRule="auto"/>
                  </w:pPr>
                </w:p>
              </w:tc>
              <w:tc>
                <w:tcPr>
                  <w:tcW w:w="6990" w:type="dxa"/>
                  <w:tcBorders>
                    <w:top w:val="single" w:sz="8" w:space="0" w:color="000000"/>
                    <w:left w:val="nil"/>
                    <w:bottom w:val="single" w:sz="8" w:space="0" w:color="000000"/>
                    <w:right w:val="single" w:sz="4" w:space="0" w:color="000000"/>
                  </w:tcBorders>
                  <w:shd w:val="clear" w:color="auto" w:fill="F2F2F2" w:themeFill="background1" w:themeFillShade="F2"/>
                  <w:vAlign w:val="center"/>
                </w:tcPr>
                <w:p w:rsidR="000449F0" w:rsidRDefault="00BF195B">
                  <w:pPr>
                    <w:spacing w:after="0" w:line="240" w:lineRule="auto"/>
                  </w:pPr>
                  <w:r>
                    <w:rPr>
                      <w:b/>
                    </w:rPr>
                    <w:t>U</w:t>
                  </w:r>
                  <w:r>
                    <w:t>tiliser des modèles scientifiques</w:t>
                  </w:r>
                </w:p>
              </w:tc>
              <w:tc>
                <w:tcPr>
                  <w:tcW w:w="765" w:type="dxa"/>
                  <w:tcBorders>
                    <w:top w:val="single" w:sz="8" w:space="0" w:color="000000"/>
                    <w:left w:val="single" w:sz="4" w:space="0" w:color="000000"/>
                    <w:bottom w:val="single" w:sz="8" w:space="0" w:color="000000"/>
                    <w:right w:val="single" w:sz="8" w:space="0" w:color="000000"/>
                  </w:tcBorders>
                  <w:shd w:val="clear" w:color="auto" w:fill="F2F2F2" w:themeFill="background1" w:themeFillShade="F2"/>
                </w:tcPr>
                <w:p w:rsidR="000449F0" w:rsidRDefault="000449F0">
                  <w:pPr>
                    <w:spacing w:after="0" w:line="240" w:lineRule="auto"/>
                  </w:pPr>
                </w:p>
              </w:tc>
              <w:tc>
                <w:tcPr>
                  <w:tcW w:w="719" w:type="dxa"/>
                  <w:tcBorders>
                    <w:top w:val="single" w:sz="8" w:space="0" w:color="000000"/>
                    <w:left w:val="single" w:sz="4" w:space="0" w:color="000000"/>
                    <w:bottom w:val="single" w:sz="8" w:space="0" w:color="000000"/>
                    <w:right w:val="single" w:sz="8" w:space="0" w:color="000000"/>
                  </w:tcBorders>
                  <w:shd w:val="clear" w:color="auto" w:fill="F2F2F2" w:themeFill="background1" w:themeFillShade="F2"/>
                </w:tcPr>
                <w:p w:rsidR="000449F0" w:rsidRDefault="000449F0">
                  <w:pPr>
                    <w:spacing w:after="0" w:line="240" w:lineRule="auto"/>
                  </w:pPr>
                </w:p>
              </w:tc>
              <w:tc>
                <w:tcPr>
                  <w:tcW w:w="709" w:type="dxa"/>
                  <w:tcBorders>
                    <w:top w:val="single" w:sz="8" w:space="0" w:color="000000"/>
                    <w:left w:val="single" w:sz="4" w:space="0" w:color="000000"/>
                    <w:bottom w:val="single" w:sz="8" w:space="0" w:color="000000"/>
                    <w:right w:val="single" w:sz="8" w:space="0" w:color="000000"/>
                  </w:tcBorders>
                  <w:shd w:val="clear" w:color="auto" w:fill="F2F2F2" w:themeFill="background1" w:themeFillShade="F2"/>
                </w:tcPr>
                <w:p w:rsidR="000449F0" w:rsidRDefault="000449F0">
                  <w:pPr>
                    <w:spacing w:after="0" w:line="240" w:lineRule="auto"/>
                  </w:pPr>
                </w:p>
              </w:tc>
            </w:tr>
            <w:tr w:rsidR="000449F0" w:rsidTr="00517125">
              <w:trPr>
                <w:trHeight w:val="210"/>
              </w:trPr>
              <w:tc>
                <w:tcPr>
                  <w:tcW w:w="1695" w:type="dxa"/>
                  <w:vMerge/>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0449F0" w:rsidRDefault="000449F0">
                  <w:pPr>
                    <w:spacing w:after="0" w:line="240" w:lineRule="auto"/>
                  </w:pPr>
                </w:p>
              </w:tc>
              <w:tc>
                <w:tcPr>
                  <w:tcW w:w="6990" w:type="dxa"/>
                  <w:tcBorders>
                    <w:top w:val="single" w:sz="4" w:space="0" w:color="000000"/>
                    <w:left w:val="nil"/>
                    <w:bottom w:val="single" w:sz="8" w:space="0" w:color="000000"/>
                    <w:right w:val="single" w:sz="4" w:space="0" w:color="000000"/>
                  </w:tcBorders>
                  <w:shd w:val="clear" w:color="auto" w:fill="F2F2F2" w:themeFill="background1" w:themeFillShade="F2"/>
                  <w:vAlign w:val="center"/>
                </w:tcPr>
                <w:p w:rsidR="000449F0" w:rsidRDefault="00BF195B">
                  <w:pPr>
                    <w:spacing w:after="0" w:line="240" w:lineRule="auto"/>
                  </w:pPr>
                  <w:r>
                    <w:rPr>
                      <w:b/>
                    </w:rPr>
                    <w:t>T</w:t>
                  </w:r>
                  <w:r>
                    <w:t>raiter et produire des données sous forme de schéma</w:t>
                  </w:r>
                </w:p>
              </w:tc>
              <w:tc>
                <w:tcPr>
                  <w:tcW w:w="765" w:type="dxa"/>
                  <w:tcBorders>
                    <w:top w:val="single" w:sz="4" w:space="0" w:color="000000"/>
                    <w:left w:val="single" w:sz="4" w:space="0" w:color="000000"/>
                    <w:bottom w:val="single" w:sz="8" w:space="0" w:color="000000"/>
                    <w:right w:val="single" w:sz="8" w:space="0" w:color="000000"/>
                  </w:tcBorders>
                  <w:shd w:val="clear" w:color="auto" w:fill="F2F2F2" w:themeFill="background1" w:themeFillShade="F2"/>
                </w:tcPr>
                <w:p w:rsidR="000449F0" w:rsidRDefault="000449F0">
                  <w:pPr>
                    <w:spacing w:after="0" w:line="240" w:lineRule="auto"/>
                  </w:pPr>
                </w:p>
              </w:tc>
              <w:tc>
                <w:tcPr>
                  <w:tcW w:w="719" w:type="dxa"/>
                  <w:tcBorders>
                    <w:top w:val="single" w:sz="4" w:space="0" w:color="000000"/>
                    <w:left w:val="single" w:sz="4" w:space="0" w:color="000000"/>
                    <w:bottom w:val="single" w:sz="8" w:space="0" w:color="000000"/>
                    <w:right w:val="single" w:sz="8" w:space="0" w:color="000000"/>
                  </w:tcBorders>
                  <w:shd w:val="clear" w:color="auto" w:fill="F2F2F2" w:themeFill="background1" w:themeFillShade="F2"/>
                </w:tcPr>
                <w:p w:rsidR="000449F0" w:rsidRDefault="000449F0">
                  <w:pPr>
                    <w:spacing w:after="0" w:line="240" w:lineRule="auto"/>
                  </w:pPr>
                  <w:bookmarkStart w:id="0" w:name="h.gjdgxs" w:colFirst="0" w:colLast="0"/>
                  <w:bookmarkEnd w:id="0"/>
                </w:p>
              </w:tc>
              <w:tc>
                <w:tcPr>
                  <w:tcW w:w="709" w:type="dxa"/>
                  <w:tcBorders>
                    <w:top w:val="single" w:sz="4" w:space="0" w:color="000000"/>
                    <w:left w:val="single" w:sz="4" w:space="0" w:color="000000"/>
                    <w:bottom w:val="single" w:sz="8" w:space="0" w:color="000000"/>
                    <w:right w:val="single" w:sz="8" w:space="0" w:color="000000"/>
                  </w:tcBorders>
                  <w:shd w:val="clear" w:color="auto" w:fill="F2F2F2" w:themeFill="background1" w:themeFillShade="F2"/>
                </w:tcPr>
                <w:p w:rsidR="000449F0" w:rsidRDefault="000449F0">
                  <w:pPr>
                    <w:spacing w:after="0" w:line="240" w:lineRule="auto"/>
                  </w:pPr>
                </w:p>
              </w:tc>
            </w:tr>
            <w:tr w:rsidR="000449F0" w:rsidTr="00517125">
              <w:trPr>
                <w:trHeight w:val="287"/>
              </w:trPr>
              <w:tc>
                <w:tcPr>
                  <w:tcW w:w="1695" w:type="dxa"/>
                  <w:vMerge/>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0449F0" w:rsidRDefault="000449F0">
                  <w:pPr>
                    <w:spacing w:after="0" w:line="240" w:lineRule="auto"/>
                  </w:pPr>
                </w:p>
              </w:tc>
              <w:tc>
                <w:tcPr>
                  <w:tcW w:w="6990" w:type="dxa"/>
                  <w:tcBorders>
                    <w:top w:val="single" w:sz="8" w:space="0" w:color="000000"/>
                    <w:left w:val="single" w:sz="8" w:space="0" w:color="000000"/>
                    <w:bottom w:val="single" w:sz="4" w:space="0" w:color="000000"/>
                    <w:right w:val="single" w:sz="4" w:space="0" w:color="000000"/>
                  </w:tcBorders>
                  <w:shd w:val="clear" w:color="auto" w:fill="F2F2F2" w:themeFill="background1" w:themeFillShade="F2"/>
                  <w:vAlign w:val="center"/>
                </w:tcPr>
                <w:p w:rsidR="000449F0" w:rsidRDefault="00BF195B">
                  <w:pPr>
                    <w:spacing w:after="0" w:line="240" w:lineRule="auto"/>
                  </w:pPr>
                  <w:r>
                    <w:rPr>
                      <w:b/>
                    </w:rPr>
                    <w:t>P</w:t>
                  </w:r>
                  <w:r>
                    <w:t>roposer un protocole</w:t>
                  </w:r>
                </w:p>
              </w:tc>
              <w:tc>
                <w:tcPr>
                  <w:tcW w:w="765" w:type="dxa"/>
                  <w:tcBorders>
                    <w:top w:val="single" w:sz="8" w:space="0" w:color="000000"/>
                    <w:left w:val="single" w:sz="4" w:space="0" w:color="000000"/>
                    <w:bottom w:val="single" w:sz="4" w:space="0" w:color="000000"/>
                    <w:right w:val="single" w:sz="8" w:space="0" w:color="000000"/>
                  </w:tcBorders>
                  <w:shd w:val="clear" w:color="auto" w:fill="F2F2F2" w:themeFill="background1" w:themeFillShade="F2"/>
                </w:tcPr>
                <w:p w:rsidR="000449F0" w:rsidRDefault="000449F0">
                  <w:pPr>
                    <w:spacing w:after="0" w:line="240" w:lineRule="auto"/>
                  </w:pPr>
                </w:p>
              </w:tc>
              <w:tc>
                <w:tcPr>
                  <w:tcW w:w="719" w:type="dxa"/>
                  <w:tcBorders>
                    <w:top w:val="single" w:sz="8" w:space="0" w:color="000000"/>
                    <w:left w:val="single" w:sz="4" w:space="0" w:color="000000"/>
                    <w:bottom w:val="single" w:sz="4" w:space="0" w:color="000000"/>
                    <w:right w:val="single" w:sz="8" w:space="0" w:color="000000"/>
                  </w:tcBorders>
                  <w:shd w:val="clear" w:color="auto" w:fill="F2F2F2" w:themeFill="background1" w:themeFillShade="F2"/>
                </w:tcPr>
                <w:p w:rsidR="000449F0" w:rsidRDefault="000449F0">
                  <w:pPr>
                    <w:spacing w:after="0" w:line="240" w:lineRule="auto"/>
                  </w:pPr>
                </w:p>
              </w:tc>
              <w:tc>
                <w:tcPr>
                  <w:tcW w:w="709" w:type="dxa"/>
                  <w:tcBorders>
                    <w:top w:val="single" w:sz="8" w:space="0" w:color="000000"/>
                    <w:left w:val="single" w:sz="4" w:space="0" w:color="000000"/>
                    <w:bottom w:val="single" w:sz="4" w:space="0" w:color="000000"/>
                    <w:right w:val="single" w:sz="8" w:space="0" w:color="000000"/>
                  </w:tcBorders>
                  <w:shd w:val="clear" w:color="auto" w:fill="F2F2F2" w:themeFill="background1" w:themeFillShade="F2"/>
                </w:tcPr>
                <w:p w:rsidR="000449F0" w:rsidRDefault="000449F0">
                  <w:pPr>
                    <w:spacing w:after="0" w:line="240" w:lineRule="auto"/>
                  </w:pPr>
                </w:p>
              </w:tc>
            </w:tr>
            <w:tr w:rsidR="000449F0" w:rsidTr="00517125">
              <w:trPr>
                <w:trHeight w:val="181"/>
              </w:trPr>
              <w:tc>
                <w:tcPr>
                  <w:tcW w:w="1695" w:type="dxa"/>
                  <w:vMerge/>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0449F0" w:rsidRDefault="000449F0">
                  <w:pPr>
                    <w:spacing w:after="0" w:line="240" w:lineRule="auto"/>
                  </w:pPr>
                </w:p>
              </w:tc>
              <w:tc>
                <w:tcPr>
                  <w:tcW w:w="6990" w:type="dxa"/>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0449F0" w:rsidRDefault="00BF195B">
                  <w:pPr>
                    <w:spacing w:after="0" w:line="240" w:lineRule="auto"/>
                  </w:pPr>
                  <w:r>
                    <w:rPr>
                      <w:b/>
                    </w:rPr>
                    <w:t>R</w:t>
                  </w:r>
                  <w:r>
                    <w:t>éaliser des observations</w:t>
                  </w:r>
                </w:p>
              </w:tc>
              <w:tc>
                <w:tcPr>
                  <w:tcW w:w="765"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tcPr>
                <w:p w:rsidR="000449F0" w:rsidRDefault="000449F0">
                  <w:pPr>
                    <w:spacing w:after="0" w:line="240" w:lineRule="auto"/>
                  </w:pPr>
                </w:p>
              </w:tc>
              <w:tc>
                <w:tcPr>
                  <w:tcW w:w="719"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tcPr>
                <w:p w:rsidR="000449F0" w:rsidRDefault="000449F0">
                  <w:pPr>
                    <w:spacing w:after="0" w:line="240" w:lineRule="auto"/>
                  </w:pPr>
                </w:p>
              </w:tc>
              <w:tc>
                <w:tcPr>
                  <w:tcW w:w="709"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tcPr>
                <w:p w:rsidR="000449F0" w:rsidRDefault="000449F0">
                  <w:pPr>
                    <w:spacing w:after="0" w:line="240" w:lineRule="auto"/>
                  </w:pPr>
                </w:p>
              </w:tc>
            </w:tr>
            <w:tr w:rsidR="000449F0" w:rsidTr="00517125">
              <w:trPr>
                <w:trHeight w:val="220"/>
              </w:trPr>
              <w:tc>
                <w:tcPr>
                  <w:tcW w:w="1695" w:type="dxa"/>
                  <w:vMerge/>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0449F0" w:rsidRDefault="000449F0">
                  <w:pPr>
                    <w:spacing w:after="0" w:line="240" w:lineRule="auto"/>
                  </w:pPr>
                </w:p>
              </w:tc>
              <w:tc>
                <w:tcPr>
                  <w:tcW w:w="6990" w:type="dxa"/>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0449F0" w:rsidRDefault="00BF195B">
                  <w:pPr>
                    <w:spacing w:after="0" w:line="240" w:lineRule="auto"/>
                  </w:pPr>
                  <w:r>
                    <w:rPr>
                      <w:b/>
                    </w:rPr>
                    <w:t>P</w:t>
                  </w:r>
                  <w:r>
                    <w:t>roduire des documents scientifiques en utilisant des outils numériques</w:t>
                  </w:r>
                </w:p>
              </w:tc>
              <w:tc>
                <w:tcPr>
                  <w:tcW w:w="765"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tcPr>
                <w:p w:rsidR="000449F0" w:rsidRDefault="000449F0">
                  <w:pPr>
                    <w:spacing w:after="0" w:line="240" w:lineRule="auto"/>
                  </w:pPr>
                </w:p>
              </w:tc>
              <w:tc>
                <w:tcPr>
                  <w:tcW w:w="719"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tcPr>
                <w:p w:rsidR="000449F0" w:rsidRDefault="000449F0">
                  <w:pPr>
                    <w:spacing w:after="0" w:line="240" w:lineRule="auto"/>
                  </w:pPr>
                </w:p>
              </w:tc>
              <w:tc>
                <w:tcPr>
                  <w:tcW w:w="709"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tcPr>
                <w:p w:rsidR="000449F0" w:rsidRDefault="000449F0">
                  <w:pPr>
                    <w:spacing w:after="0" w:line="240" w:lineRule="auto"/>
                  </w:pPr>
                </w:p>
              </w:tc>
            </w:tr>
          </w:tbl>
          <w:p w:rsidR="000449F0" w:rsidRDefault="000449F0">
            <w:pPr>
              <w:tabs>
                <w:tab w:val="center" w:pos="4536"/>
                <w:tab w:val="right" w:pos="9072"/>
              </w:tabs>
              <w:spacing w:after="0" w:line="240" w:lineRule="auto"/>
              <w:ind w:left="594"/>
            </w:pPr>
          </w:p>
        </w:tc>
      </w:tr>
    </w:tbl>
    <w:p w:rsidR="000449F0" w:rsidRDefault="00BF195B" w:rsidP="00517125">
      <w:pPr>
        <w:spacing w:before="120" w:after="0" w:line="288" w:lineRule="auto"/>
        <w:jc w:val="both"/>
      </w:pPr>
      <w:r>
        <w:t xml:space="preserve">Vous devez réaliser la </w:t>
      </w:r>
      <w:r>
        <w:rPr>
          <w:b/>
        </w:rPr>
        <w:t>fiche d’identité d’un ion</w:t>
      </w:r>
      <w:r>
        <w:t xml:space="preserve"> au choix parmi les suivants : ion cuivre II (Cu</w:t>
      </w:r>
      <w:r>
        <w:rPr>
          <w:vertAlign w:val="superscript"/>
        </w:rPr>
        <w:t>2+</w:t>
      </w:r>
      <w:r>
        <w:t>), ion fer II(Fe</w:t>
      </w:r>
      <w:r>
        <w:rPr>
          <w:vertAlign w:val="superscript"/>
        </w:rPr>
        <w:t>2+</w:t>
      </w:r>
      <w:r>
        <w:t>), ion fer III (Fe</w:t>
      </w:r>
      <w:r>
        <w:rPr>
          <w:vertAlign w:val="superscript"/>
        </w:rPr>
        <w:t>3+</w:t>
      </w:r>
      <w:r>
        <w:t>) ion zinc (Zn</w:t>
      </w:r>
      <w:r>
        <w:rPr>
          <w:vertAlign w:val="superscript"/>
        </w:rPr>
        <w:t>2+</w:t>
      </w:r>
      <w:r>
        <w:t>) et ion chlorure (Cl</w:t>
      </w:r>
      <w:r>
        <w:rPr>
          <w:vertAlign w:val="superscript"/>
        </w:rPr>
        <w:t>-</w:t>
      </w:r>
      <w:r>
        <w:t>).</w:t>
      </w:r>
    </w:p>
    <w:p w:rsidR="000449F0" w:rsidRDefault="00BF195B">
      <w:pPr>
        <w:spacing w:line="288" w:lineRule="auto"/>
        <w:jc w:val="both"/>
      </w:pPr>
      <w:r>
        <w:t xml:space="preserve">Votre « fiche » sera réalisée via l’application « book creator ». Elle comportera les éléments listés ci-dessous : </w:t>
      </w:r>
    </w:p>
    <w:p w:rsidR="000449F0" w:rsidRDefault="00BF195B">
      <w:pPr>
        <w:numPr>
          <w:ilvl w:val="0"/>
          <w:numId w:val="2"/>
        </w:numPr>
        <w:spacing w:line="288" w:lineRule="auto"/>
        <w:ind w:hanging="360"/>
        <w:contextualSpacing/>
        <w:jc w:val="both"/>
      </w:pPr>
      <w:r>
        <w:t>Nom et formule de l’ion</w:t>
      </w:r>
    </w:p>
    <w:p w:rsidR="000449F0" w:rsidRDefault="00BF195B">
      <w:pPr>
        <w:numPr>
          <w:ilvl w:val="0"/>
          <w:numId w:val="2"/>
        </w:numPr>
        <w:spacing w:line="288" w:lineRule="auto"/>
        <w:ind w:hanging="360"/>
        <w:contextualSpacing/>
        <w:jc w:val="both"/>
      </w:pPr>
      <w:r>
        <w:t>Structure de l’ion</w:t>
      </w:r>
    </w:p>
    <w:p w:rsidR="000449F0" w:rsidRDefault="00BF195B">
      <w:pPr>
        <w:numPr>
          <w:ilvl w:val="0"/>
          <w:numId w:val="2"/>
        </w:numPr>
        <w:spacing w:line="288" w:lineRule="auto"/>
        <w:ind w:hanging="360"/>
        <w:contextualSpacing/>
        <w:jc w:val="both"/>
      </w:pPr>
      <w:r>
        <w:t>Rôle dans l’organisme : bénéfices et conséquences d’une carence</w:t>
      </w:r>
    </w:p>
    <w:p w:rsidR="000449F0" w:rsidRDefault="00BF195B">
      <w:pPr>
        <w:numPr>
          <w:ilvl w:val="0"/>
          <w:numId w:val="2"/>
        </w:numPr>
        <w:spacing w:line="288" w:lineRule="auto"/>
        <w:ind w:hanging="360"/>
        <w:contextualSpacing/>
        <w:jc w:val="both"/>
      </w:pPr>
      <w:r>
        <w:t>Sources / dose journalière prescrite</w:t>
      </w:r>
    </w:p>
    <w:p w:rsidR="000449F0" w:rsidRDefault="00BF195B">
      <w:pPr>
        <w:numPr>
          <w:ilvl w:val="0"/>
          <w:numId w:val="2"/>
        </w:numPr>
        <w:spacing w:line="288" w:lineRule="auto"/>
        <w:ind w:hanging="360"/>
        <w:contextualSpacing/>
        <w:jc w:val="both"/>
      </w:pPr>
      <w:r>
        <w:t>Test d’identification de l’ion</w:t>
      </w:r>
    </w:p>
    <w:p w:rsidR="000449F0" w:rsidRDefault="00BF195B">
      <w:pPr>
        <w:numPr>
          <w:ilvl w:val="1"/>
          <w:numId w:val="2"/>
        </w:numPr>
        <w:spacing w:line="288" w:lineRule="auto"/>
        <w:ind w:hanging="360"/>
        <w:contextualSpacing/>
        <w:jc w:val="both"/>
      </w:pPr>
      <w:r>
        <w:t xml:space="preserve">Schéma </w:t>
      </w:r>
    </w:p>
    <w:p w:rsidR="000449F0" w:rsidRDefault="00BF195B">
      <w:pPr>
        <w:numPr>
          <w:ilvl w:val="1"/>
          <w:numId w:val="2"/>
        </w:numPr>
        <w:spacing w:line="288" w:lineRule="auto"/>
        <w:ind w:hanging="360"/>
        <w:contextualSpacing/>
        <w:jc w:val="both"/>
      </w:pPr>
      <w:r>
        <w:t>Protocole</w:t>
      </w:r>
    </w:p>
    <w:p w:rsidR="000449F0" w:rsidRDefault="00BF195B">
      <w:pPr>
        <w:numPr>
          <w:ilvl w:val="1"/>
          <w:numId w:val="2"/>
        </w:numPr>
        <w:spacing w:line="288" w:lineRule="auto"/>
        <w:ind w:hanging="360"/>
        <w:contextualSpacing/>
        <w:jc w:val="both"/>
      </w:pPr>
      <w:r>
        <w:t>Nom du détecteur</w:t>
      </w:r>
    </w:p>
    <w:p w:rsidR="000449F0" w:rsidRDefault="00BF195B">
      <w:pPr>
        <w:numPr>
          <w:ilvl w:val="1"/>
          <w:numId w:val="2"/>
        </w:numPr>
        <w:spacing w:line="288" w:lineRule="auto"/>
        <w:ind w:hanging="360"/>
        <w:contextualSpacing/>
        <w:jc w:val="both"/>
      </w:pPr>
      <w:r>
        <w:t>Couleur du précipité</w:t>
      </w:r>
    </w:p>
    <w:p w:rsidR="000449F0" w:rsidRDefault="00BF195B">
      <w:pPr>
        <w:numPr>
          <w:ilvl w:val="1"/>
          <w:numId w:val="2"/>
        </w:numPr>
        <w:spacing w:line="288" w:lineRule="auto"/>
        <w:ind w:hanging="360"/>
        <w:contextualSpacing/>
        <w:jc w:val="both"/>
      </w:pPr>
      <w:r>
        <w:t>Photo ou vidéo courte du test</w:t>
      </w:r>
    </w:p>
    <w:p w:rsidR="000449F0" w:rsidRDefault="00BF195B">
      <w:pPr>
        <w:spacing w:line="288" w:lineRule="auto"/>
        <w:jc w:val="both"/>
      </w:pPr>
      <w:r>
        <w:t>N’oubliez pas d’indiquer vos noms et prénoms ainsi qu’un titre !</w:t>
      </w:r>
    </w:p>
    <w:p w:rsidR="000449F0" w:rsidRDefault="00BF195B">
      <w:pPr>
        <w:spacing w:line="288" w:lineRule="auto"/>
        <w:jc w:val="both"/>
      </w:pPr>
      <w:r>
        <w:rPr>
          <w:b/>
        </w:rPr>
        <w:t>Documents fournis :</w:t>
      </w:r>
    </w:p>
    <w:p w:rsidR="000449F0" w:rsidRDefault="00BF195B">
      <w:pPr>
        <w:spacing w:line="288" w:lineRule="auto"/>
        <w:jc w:val="both"/>
      </w:pPr>
      <w:r>
        <w:t>Classification pé</w:t>
      </w:r>
      <w:r>
        <w:t>riodique des éléments.</w:t>
      </w:r>
    </w:p>
    <w:p w:rsidR="000449F0" w:rsidRDefault="00517125">
      <w:pPr>
        <w:spacing w:line="288" w:lineRule="auto"/>
        <w:jc w:val="both"/>
      </w:pPr>
      <w:hyperlink r:id="rId7" w:history="1">
        <w:r w:rsidR="00BF195B" w:rsidRPr="00517125">
          <w:rPr>
            <w:rStyle w:val="Lienhypertexte"/>
          </w:rPr>
          <w:t>Capsule C2.2</w:t>
        </w:r>
      </w:hyperlink>
      <w:r w:rsidR="00BF195B">
        <w:t xml:space="preserve"> « Identifier les ions présents dans les solutions »</w:t>
      </w:r>
    </w:p>
    <w:p w:rsidR="000449F0" w:rsidRDefault="00BF195B">
      <w:pPr>
        <w:spacing w:line="288" w:lineRule="auto"/>
        <w:jc w:val="both"/>
      </w:pPr>
      <w:r>
        <w:t>Document « Ions et nutrition »</w:t>
      </w:r>
    </w:p>
    <w:p w:rsidR="000449F0" w:rsidRDefault="00BF195B">
      <w:pPr>
        <w:numPr>
          <w:ilvl w:val="0"/>
          <w:numId w:val="3"/>
        </w:numPr>
        <w:spacing w:before="100" w:after="100" w:line="240" w:lineRule="auto"/>
        <w:ind w:hanging="360"/>
        <w:contextualSpacing/>
        <w:jc w:val="both"/>
        <w:rPr>
          <w:b/>
        </w:rPr>
      </w:pPr>
      <w:r>
        <w:rPr>
          <w:b/>
        </w:rPr>
        <w:t>Matériel à votre disposition :</w:t>
      </w:r>
    </w:p>
    <w:p w:rsidR="000449F0" w:rsidRDefault="00BF195B">
      <w:pPr>
        <w:numPr>
          <w:ilvl w:val="0"/>
          <w:numId w:val="1"/>
        </w:numPr>
        <w:spacing w:line="288" w:lineRule="auto"/>
        <w:ind w:hanging="360"/>
        <w:contextualSpacing/>
        <w:jc w:val="both"/>
      </w:pPr>
      <w:r>
        <w:t>solution contenant l’ion étudié</w:t>
      </w:r>
    </w:p>
    <w:p w:rsidR="000449F0" w:rsidRDefault="00BF195B">
      <w:pPr>
        <w:numPr>
          <w:ilvl w:val="0"/>
          <w:numId w:val="1"/>
        </w:numPr>
        <w:spacing w:line="288" w:lineRule="auto"/>
        <w:ind w:hanging="360"/>
        <w:contextualSpacing/>
        <w:jc w:val="both"/>
      </w:pPr>
      <w:r>
        <w:t>solution de soude</w:t>
      </w:r>
    </w:p>
    <w:p w:rsidR="000449F0" w:rsidRDefault="00BF195B">
      <w:pPr>
        <w:numPr>
          <w:ilvl w:val="0"/>
          <w:numId w:val="1"/>
        </w:numPr>
        <w:spacing w:line="288" w:lineRule="auto"/>
        <w:ind w:hanging="360"/>
        <w:contextualSpacing/>
        <w:jc w:val="both"/>
      </w:pPr>
      <w:r>
        <w:t>solution de nitrate d’argent</w:t>
      </w:r>
    </w:p>
    <w:p w:rsidR="000449F0" w:rsidRDefault="00BF195B">
      <w:pPr>
        <w:numPr>
          <w:ilvl w:val="0"/>
          <w:numId w:val="1"/>
        </w:numPr>
        <w:spacing w:line="288" w:lineRule="auto"/>
        <w:ind w:hanging="360"/>
        <w:contextualSpacing/>
        <w:jc w:val="both"/>
      </w:pPr>
      <w:r>
        <w:t>tube à essai et porte-tube</w:t>
      </w:r>
    </w:p>
    <w:p w:rsidR="000449F0" w:rsidRDefault="00BF195B">
      <w:pPr>
        <w:numPr>
          <w:ilvl w:val="0"/>
          <w:numId w:val="1"/>
        </w:numPr>
        <w:spacing w:line="288" w:lineRule="auto"/>
        <w:ind w:hanging="360"/>
        <w:contextualSpacing/>
        <w:jc w:val="both"/>
      </w:pPr>
      <w:r>
        <w:t xml:space="preserve">pipette </w:t>
      </w:r>
    </w:p>
    <w:p w:rsidR="000449F0" w:rsidRDefault="00BF195B">
      <w:pPr>
        <w:numPr>
          <w:ilvl w:val="0"/>
          <w:numId w:val="1"/>
        </w:numPr>
        <w:spacing w:line="288" w:lineRule="auto"/>
        <w:ind w:hanging="360"/>
        <w:contextualSpacing/>
        <w:jc w:val="both"/>
      </w:pPr>
      <w:r>
        <w:t>lunettes de protection, gants, blouse</w:t>
      </w:r>
    </w:p>
    <w:p w:rsidR="00517125" w:rsidRDefault="00517125">
      <w:pPr>
        <w:spacing w:line="288" w:lineRule="auto"/>
        <w:jc w:val="both"/>
        <w:rPr>
          <w:b/>
        </w:rPr>
      </w:pPr>
    </w:p>
    <w:p w:rsidR="00517125" w:rsidRDefault="00517125">
      <w:pPr>
        <w:spacing w:line="288" w:lineRule="auto"/>
        <w:jc w:val="both"/>
        <w:rPr>
          <w:b/>
        </w:rPr>
      </w:pPr>
    </w:p>
    <w:p w:rsidR="000449F0" w:rsidRDefault="00BF195B">
      <w:pPr>
        <w:spacing w:line="288" w:lineRule="auto"/>
        <w:jc w:val="both"/>
      </w:pPr>
      <w:r>
        <w:rPr>
          <w:b/>
        </w:rPr>
        <w:t>Durée prévue</w:t>
      </w:r>
      <w:r>
        <w:t> : 2 h</w:t>
      </w:r>
    </w:p>
    <w:p w:rsidR="00517125" w:rsidRDefault="00517125">
      <w:pPr>
        <w:jc w:val="center"/>
        <w:rPr>
          <w:b/>
          <w:sz w:val="24"/>
          <w:szCs w:val="24"/>
        </w:rPr>
      </w:pPr>
    </w:p>
    <w:p w:rsidR="00517125" w:rsidRDefault="00517125">
      <w:pPr>
        <w:jc w:val="center"/>
        <w:rPr>
          <w:b/>
          <w:sz w:val="24"/>
          <w:szCs w:val="24"/>
        </w:rPr>
      </w:pPr>
    </w:p>
    <w:p w:rsidR="00517125" w:rsidRDefault="00517125">
      <w:pPr>
        <w:jc w:val="center"/>
        <w:rPr>
          <w:b/>
          <w:sz w:val="24"/>
          <w:szCs w:val="24"/>
        </w:rPr>
      </w:pPr>
    </w:p>
    <w:p w:rsidR="00517125" w:rsidRDefault="00517125">
      <w:pPr>
        <w:jc w:val="center"/>
        <w:rPr>
          <w:b/>
          <w:sz w:val="24"/>
          <w:szCs w:val="24"/>
        </w:rPr>
      </w:pPr>
      <w:bookmarkStart w:id="1" w:name="_GoBack"/>
      <w:bookmarkEnd w:id="1"/>
    </w:p>
    <w:p w:rsidR="00517125" w:rsidRDefault="00517125">
      <w:pPr>
        <w:jc w:val="center"/>
        <w:rPr>
          <w:b/>
          <w:sz w:val="24"/>
          <w:szCs w:val="24"/>
        </w:rPr>
      </w:pPr>
    </w:p>
    <w:p w:rsidR="000449F0" w:rsidRDefault="00BF195B">
      <w:pPr>
        <w:jc w:val="center"/>
      </w:pPr>
      <w:r>
        <w:rPr>
          <w:b/>
          <w:sz w:val="24"/>
          <w:szCs w:val="24"/>
        </w:rPr>
        <w:t>DOCUMENT : IONS ET NUTRITION</w:t>
      </w:r>
    </w:p>
    <w:p w:rsidR="000449F0" w:rsidRDefault="00BF195B">
      <w:pPr>
        <w:spacing w:after="0"/>
        <w:jc w:val="both"/>
      </w:pPr>
      <w:r>
        <w:rPr>
          <w:sz w:val="24"/>
          <w:szCs w:val="24"/>
        </w:rPr>
        <w:t>L</w:t>
      </w:r>
      <w:r>
        <w:t>’organisme humain a besoin d’une vingtaine de minéraux qui doivent être apportés régulièrement par l’alimentation pour compenser les pertes journalières (urines, selles, transpiration …) ou pour satisfaire des besoins augmentés dans certaines situations ph</w:t>
      </w:r>
      <w:r>
        <w:t xml:space="preserve">ysiologiques (croissance </w:t>
      </w:r>
      <w:r w:rsidR="00517125">
        <w:t xml:space="preserve">osseuse, grossesse, allaitement </w:t>
      </w:r>
      <w:r>
        <w:t>...</w:t>
      </w:r>
      <w:r>
        <w:t>)</w:t>
      </w:r>
      <w:r>
        <w:t>.</w:t>
      </w:r>
    </w:p>
    <w:p w:rsidR="000449F0" w:rsidRDefault="000449F0">
      <w:pPr>
        <w:spacing w:after="0"/>
        <w:jc w:val="both"/>
      </w:pPr>
    </w:p>
    <w:p w:rsidR="000449F0" w:rsidRDefault="00BF195B">
      <w:pPr>
        <w:spacing w:after="0"/>
        <w:jc w:val="both"/>
      </w:pPr>
      <w:r>
        <w:t xml:space="preserve">Les minéraux et oligo-éléments, sont indispensables au bon fonctionnement de l’organisme : ils interviennent dans de nombreux processus biologiques. Certains de ces éléments sont nécessaires </w:t>
      </w:r>
      <w:r>
        <w:t xml:space="preserve">dans des quantités de l’ordre du gramme (exemple : calcium), ce sont des </w:t>
      </w:r>
      <w:r>
        <w:rPr>
          <w:b/>
        </w:rPr>
        <w:t>macro-éléments</w:t>
      </w:r>
      <w:r>
        <w:t xml:space="preserve">, d’autres dans des quantités de l’ordre de quelques milligrammes : ce sont les </w:t>
      </w:r>
      <w:r>
        <w:rPr>
          <w:b/>
        </w:rPr>
        <w:t>oligo-éléments</w:t>
      </w:r>
      <w:r>
        <w:t>. Tous doivent être apportés par une alimentation équilibrée car l’organism</w:t>
      </w:r>
      <w:r>
        <w:t xml:space="preserve">e ne peut pas les synthétiser. </w:t>
      </w:r>
    </w:p>
    <w:p w:rsidR="000449F0" w:rsidRDefault="00BF195B">
      <w:pPr>
        <w:spacing w:after="0"/>
        <w:jc w:val="both"/>
      </w:pPr>
      <w:r>
        <w:t>Parmi les sels minéraux et les oligo-éléments, on trouve le fer, le zinc, le cuivre le manganèse, le sélénium, le chrome</w:t>
      </w:r>
      <w:r>
        <w:t>, le cobalt</w:t>
      </w:r>
      <w:r w:rsidR="00517125">
        <w:t>,</w:t>
      </w:r>
      <w:r>
        <w:t xml:space="preserve"> </w:t>
      </w:r>
      <w:r>
        <w:t>etc</w:t>
      </w:r>
      <w:r w:rsidR="00517125">
        <w:t>. q</w:t>
      </w:r>
      <w:r>
        <w:t>ui sont sous forme d’ions positifs.</w:t>
      </w:r>
    </w:p>
    <w:p w:rsidR="000449F0" w:rsidRDefault="000449F0">
      <w:pPr>
        <w:spacing w:after="0"/>
        <w:jc w:val="both"/>
      </w:pPr>
    </w:p>
    <w:p w:rsidR="000449F0" w:rsidRDefault="00BF195B">
      <w:pPr>
        <w:spacing w:after="0"/>
        <w:jc w:val="both"/>
      </w:pPr>
      <w:r>
        <w:rPr>
          <w:b/>
          <w:u w:val="single"/>
        </w:rPr>
        <w:t>Le fer</w:t>
      </w:r>
      <w:r>
        <w:rPr>
          <w:b/>
        </w:rPr>
        <w:t xml:space="preserve"> </w:t>
      </w:r>
      <w:r>
        <w:t>(Fe</w:t>
      </w:r>
      <w:r>
        <w:rPr>
          <w:vertAlign w:val="superscript"/>
        </w:rPr>
        <w:t>2+</w:t>
      </w:r>
      <w:r>
        <w:t xml:space="preserve"> ou Fe </w:t>
      </w:r>
      <w:r>
        <w:rPr>
          <w:vertAlign w:val="superscript"/>
        </w:rPr>
        <w:t>3+</w:t>
      </w:r>
      <w:r>
        <w:t>) : l’organisme humain cont</w:t>
      </w:r>
      <w:r>
        <w:t xml:space="preserve">ient 3 à 4g de fer. Les besoins quotidiens en fer sont de l’ordre de 20mg pour un adulte. Les conséquences d’une carence en fer sont très importantes : fatigabilité, anorexie, apathie, troubles du sommeil, vulnérabilité vis à vis des infections. On trouve </w:t>
      </w:r>
      <w:r>
        <w:t>cet oligo-élément dans les viandes (notamment le foie), volailles, poissons, œufs et aliments d’origine végétale.</w:t>
      </w:r>
    </w:p>
    <w:p w:rsidR="000449F0" w:rsidRDefault="00BF195B">
      <w:pPr>
        <w:spacing w:after="0"/>
        <w:jc w:val="both"/>
      </w:pPr>
      <w:r>
        <w:t>Le fer est essentiel au transport de l'oxygène et à la formation des globules rouges dans le sang. Il joue aussi un rôle dans la fabrication d</w:t>
      </w:r>
      <w:r>
        <w:t>e nouvelles cellules, d'hormones et de neurotransmetteurs. Le fer contenu dans les végétaux (fer dit « non héminique ») Fe</w:t>
      </w:r>
      <w:r>
        <w:rPr>
          <w:vertAlign w:val="superscript"/>
        </w:rPr>
        <w:t>3+</w:t>
      </w:r>
      <w:r>
        <w:t xml:space="preserve"> ou fer ferrique est moins bien absorbé par l'organisme que celui contenu dans les aliments crus d'origine animale (fer « héminique </w:t>
      </w:r>
      <w:r>
        <w:t>») Fe</w:t>
      </w:r>
      <w:r>
        <w:rPr>
          <w:vertAlign w:val="superscript"/>
        </w:rPr>
        <w:t>2+</w:t>
      </w:r>
      <w:r>
        <w:t xml:space="preserve"> ou fer ferreux. </w:t>
      </w:r>
    </w:p>
    <w:p w:rsidR="000449F0" w:rsidRDefault="000449F0">
      <w:pPr>
        <w:spacing w:after="0"/>
        <w:jc w:val="both"/>
      </w:pPr>
    </w:p>
    <w:p w:rsidR="000449F0" w:rsidRDefault="00BF195B">
      <w:pPr>
        <w:spacing w:after="0"/>
        <w:jc w:val="both"/>
      </w:pPr>
      <w:r>
        <w:rPr>
          <w:b/>
          <w:u w:val="single"/>
        </w:rPr>
        <w:t>Le zinc</w:t>
      </w:r>
      <w:r>
        <w:t> (Zn</w:t>
      </w:r>
      <w:r>
        <w:rPr>
          <w:vertAlign w:val="superscript"/>
        </w:rPr>
        <w:t>2+</w:t>
      </w:r>
      <w:r>
        <w:t>) : il participe à plus de 70 activités enzymatiques différentes et intervient aussi dans la stimulation des défenses immunitaires, la prévention du vieillissement, la cicatrisation et la fertilité. Les principales so</w:t>
      </w:r>
      <w:r>
        <w:t>urces alimentaires sont les produits laitiers et les œufs, les féculents et produits de la mer. Il est localisé au niveau de la peau, des cheveux et du foie. Une carence en zinc provoque notamment un retard de croissance. Les besoins journaliers sont d’env</w:t>
      </w:r>
      <w:r>
        <w:t>iron 15mg/jour. Les aliments végétaux les plus riches en zinc sont les céréales complètes, les légumineuses (soja principalement) et les fruits secs (noix, amandes, noisettes). Les aliments d’origine animale sources de zinc sont les huîtres, le foie de vea</w:t>
      </w:r>
      <w:r>
        <w:t>u et le jaune d’œuf.</w:t>
      </w:r>
    </w:p>
    <w:p w:rsidR="000449F0" w:rsidRDefault="000449F0">
      <w:pPr>
        <w:spacing w:after="0"/>
        <w:jc w:val="both"/>
      </w:pPr>
    </w:p>
    <w:p w:rsidR="000449F0" w:rsidRDefault="00BF195B">
      <w:pPr>
        <w:spacing w:after="0"/>
        <w:jc w:val="both"/>
      </w:pPr>
      <w:r>
        <w:rPr>
          <w:b/>
          <w:u w:val="single"/>
        </w:rPr>
        <w:t>Le cuivre</w:t>
      </w:r>
      <w:r>
        <w:t> (Cu</w:t>
      </w:r>
      <w:r>
        <w:rPr>
          <w:vertAlign w:val="superscript"/>
        </w:rPr>
        <w:t>2+</w:t>
      </w:r>
      <w:r>
        <w:t>) : il intervient dans de nombreuses activités enzymatiques ainsi que dans le fonctionnement du système nerveux et la stimulation des défenses naturelles pour combattre microbes et virus. On le trouve beaucoup au niveau</w:t>
      </w:r>
      <w:r>
        <w:t xml:space="preserve"> des tissus nerveux et du foie. L’apport journalier recommandé est d’environ 2mg. La carence en cuivre peut être responsable de maladies de la peau ou de troubles nerveux. Par ordre croissant, on va retrouver le cuivre dans les aliments suivants : le foie,</w:t>
      </w:r>
      <w:r>
        <w:t xml:space="preserve"> les crustacés et coquillages, chocolat, céréales complètes et riz complet. Il peut être présent aussi dans l’eau de consommation car les canalisations sont en cuivre.</w:t>
      </w:r>
    </w:p>
    <w:p w:rsidR="000449F0" w:rsidRDefault="000449F0">
      <w:pPr>
        <w:spacing w:after="0"/>
        <w:jc w:val="both"/>
      </w:pPr>
    </w:p>
    <w:p w:rsidR="000449F0" w:rsidRDefault="00BF195B">
      <w:pPr>
        <w:spacing w:after="0"/>
        <w:jc w:val="both"/>
      </w:pPr>
      <w:r>
        <w:rPr>
          <w:b/>
          <w:u w:val="single"/>
        </w:rPr>
        <w:t>Le chlorure</w:t>
      </w:r>
      <w:r>
        <w:t xml:space="preserve"> (Cl</w:t>
      </w:r>
      <w:r>
        <w:rPr>
          <w:vertAlign w:val="superscript"/>
        </w:rPr>
        <w:t>-</w:t>
      </w:r>
      <w:r>
        <w:t>) : c’est un oligo-élément que l’on retrouve dans pratiquement tous les</w:t>
      </w:r>
      <w:r>
        <w:t xml:space="preserve"> liquides de l’organisme : le sang, la lymphe, et surtout dans le liquide cérébro-spinal et les sucs gastriques. Le chlorure en excès est destructeur de la vitamine E. Il joue des rôles importants au niveau de l’organisme : formation des sucs gastriques, m</w:t>
      </w:r>
      <w:r>
        <w:t>aintien de l’équilibre acido-basique dans l’organisme, transport du dioxyde de carbone dans le sang…</w:t>
      </w:r>
    </w:p>
    <w:p w:rsidR="000449F0" w:rsidRDefault="00BF195B">
      <w:pPr>
        <w:spacing w:after="0"/>
        <w:jc w:val="both"/>
      </w:pPr>
      <w:r>
        <w:t>Le sel de cuisine est la source principale de chlorure. Les aliments d’origine animale en sont les plus riches (parmesan, huîtres, porc, lapin), les végéta</w:t>
      </w:r>
      <w:r>
        <w:t xml:space="preserve">ux en contiennent également mais en quantité moindre (pain complet, noix de coco, pommes de terre). L’apport journalier recommandé est de 800 mg / jour. </w:t>
      </w:r>
    </w:p>
    <w:p w:rsidR="000449F0" w:rsidRDefault="00BF195B">
      <w:pPr>
        <w:spacing w:after="0"/>
        <w:jc w:val="both"/>
      </w:pPr>
      <w:r>
        <w:t>En cas de carence, des risques de troubles nerveux, la perte des cheveux et des dents, des troubles di</w:t>
      </w:r>
      <w:r>
        <w:t>gestifs peuvent apparaître.</w:t>
      </w:r>
    </w:p>
    <w:p w:rsidR="000449F0" w:rsidRDefault="000449F0">
      <w:pPr>
        <w:spacing w:after="0"/>
        <w:jc w:val="both"/>
      </w:pPr>
    </w:p>
    <w:p w:rsidR="000449F0" w:rsidRDefault="00BF195B">
      <w:pPr>
        <w:spacing w:after="0"/>
        <w:jc w:val="right"/>
      </w:pPr>
      <w:r>
        <w:rPr>
          <w:b/>
        </w:rPr>
        <w:t xml:space="preserve">Sources : </w:t>
      </w:r>
    </w:p>
    <w:p w:rsidR="000449F0" w:rsidRDefault="00BF195B">
      <w:pPr>
        <w:spacing w:after="0"/>
        <w:jc w:val="right"/>
      </w:pPr>
      <w:hyperlink r:id="rId8">
        <w:r>
          <w:rPr>
            <w:color w:val="0563C1"/>
            <w:u w:val="single"/>
          </w:rPr>
          <w:t>http://www.passeportsante.net</w:t>
        </w:r>
      </w:hyperlink>
    </w:p>
    <w:p w:rsidR="000449F0" w:rsidRDefault="00BF195B">
      <w:pPr>
        <w:spacing w:after="0"/>
        <w:jc w:val="right"/>
      </w:pPr>
      <w:hyperlink r:id="rId9">
        <w:r>
          <w:rPr>
            <w:color w:val="0563C1"/>
            <w:u w:val="single"/>
          </w:rPr>
          <w:t>http://www.wikipedia.fr</w:t>
        </w:r>
      </w:hyperlink>
      <w:r>
        <w:t xml:space="preserve"> </w:t>
      </w:r>
    </w:p>
    <w:p w:rsidR="000449F0" w:rsidRDefault="00BF195B">
      <w:pPr>
        <w:spacing w:after="0"/>
        <w:jc w:val="right"/>
      </w:pPr>
      <w:hyperlink r:id="rId10">
        <w:r>
          <w:rPr>
            <w:color w:val="0563C1"/>
            <w:u w:val="single"/>
          </w:rPr>
          <w:t>http://www.nutrition-expertise.fr</w:t>
        </w:r>
      </w:hyperlink>
      <w:r>
        <w:t xml:space="preserve"> </w:t>
      </w:r>
    </w:p>
    <w:sectPr w:rsidR="000449F0" w:rsidSect="00517125">
      <w:pgSz w:w="11906" w:h="16838"/>
      <w:pgMar w:top="0" w:right="566" w:bottom="850"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5B" w:rsidRDefault="00BF195B">
      <w:pPr>
        <w:spacing w:after="0" w:line="240" w:lineRule="auto"/>
      </w:pPr>
      <w:r>
        <w:separator/>
      </w:r>
    </w:p>
  </w:endnote>
  <w:endnote w:type="continuationSeparator" w:id="0">
    <w:p w:rsidR="00BF195B" w:rsidRDefault="00BF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5B" w:rsidRDefault="00BF195B">
      <w:pPr>
        <w:spacing w:after="0" w:line="240" w:lineRule="auto"/>
      </w:pPr>
      <w:r>
        <w:separator/>
      </w:r>
    </w:p>
  </w:footnote>
  <w:footnote w:type="continuationSeparator" w:id="0">
    <w:p w:rsidR="00BF195B" w:rsidRDefault="00BF1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986"/>
    <w:multiLevelType w:val="multilevel"/>
    <w:tmpl w:val="665EAE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DAF23BE"/>
    <w:multiLevelType w:val="multilevel"/>
    <w:tmpl w:val="B8F62A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CD32789"/>
    <w:multiLevelType w:val="multilevel"/>
    <w:tmpl w:val="C0A4EA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F0"/>
    <w:rsid w:val="000449F0"/>
    <w:rsid w:val="00517125"/>
    <w:rsid w:val="00BF1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5DBB"/>
  <w15:docId w15:val="{A635F6C8-FBA4-4DD6-AED5-9811E619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144" w:type="dxa"/>
        <w:left w:w="115" w:type="dxa"/>
        <w:bottom w:w="144" w:type="dxa"/>
        <w:right w:w="115"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171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712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17125"/>
    <w:rPr>
      <w:b/>
      <w:bCs/>
    </w:rPr>
  </w:style>
  <w:style w:type="character" w:customStyle="1" w:styleId="ObjetducommentaireCar">
    <w:name w:val="Objet du commentaire Car"/>
    <w:basedOn w:val="CommentaireCar"/>
    <w:link w:val="Objetducommentaire"/>
    <w:uiPriority w:val="99"/>
    <w:semiHidden/>
    <w:rsid w:val="00517125"/>
    <w:rPr>
      <w:b/>
      <w:bCs/>
      <w:sz w:val="20"/>
      <w:szCs w:val="20"/>
    </w:rPr>
  </w:style>
  <w:style w:type="character" w:styleId="Lienhypertexte">
    <w:name w:val="Hyperlink"/>
    <w:basedOn w:val="Policepardfaut"/>
    <w:uiPriority w:val="99"/>
    <w:unhideWhenUsed/>
    <w:rsid w:val="00517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sseportsante.net" TargetMode="External"/><Relationship Id="rId3" Type="http://schemas.openxmlformats.org/officeDocument/2006/relationships/settings" Target="settings.xml"/><Relationship Id="rId7" Type="http://schemas.openxmlformats.org/officeDocument/2006/relationships/hyperlink" Target="http://www.college2sciences.fr/index.php/3eme/la-matiere-etudier-et-modeliser-sa-structure-et-ses-transformations/2-qu-est-ce-qu-un-ion/29-ion-formation-combustion-ch-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utrition-expertise.fr" TargetMode="External"/><Relationship Id="rId4" Type="http://schemas.openxmlformats.org/officeDocument/2006/relationships/webSettings" Target="webSettings.xml"/><Relationship Id="rId9" Type="http://schemas.openxmlformats.org/officeDocument/2006/relationships/hyperlink" Target="http://www.wikipedi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919</Words>
  <Characters>5060</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Yacin Karim</dc:creator>
  <cp:lastModifiedBy>Yacin Karim</cp:lastModifiedBy>
  <cp:revision>2</cp:revision>
  <dcterms:created xsi:type="dcterms:W3CDTF">2016-01-21T23:00:00Z</dcterms:created>
  <dcterms:modified xsi:type="dcterms:W3CDTF">2016-01-21T23:00:00Z</dcterms:modified>
</cp:coreProperties>
</file>